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Pr="006775A0" w:rsidRDefault="009C3B55" w:rsidP="00D07C2A">
      <w:pPr>
        <w:jc w:val="center"/>
      </w:pPr>
    </w:p>
    <w:p w:rsidR="00D07C2A" w:rsidRPr="006775A0" w:rsidRDefault="00D07C2A" w:rsidP="00D07C2A">
      <w:pPr>
        <w:jc w:val="center"/>
      </w:pPr>
    </w:p>
    <w:p w:rsidR="00D07C2A" w:rsidRPr="006775A0" w:rsidRDefault="00D07C2A" w:rsidP="00D07C2A">
      <w:pPr>
        <w:jc w:val="center"/>
      </w:pPr>
    </w:p>
    <w:p w:rsidR="00D07C2A" w:rsidRPr="006775A0" w:rsidRDefault="00D07C2A" w:rsidP="00D07C2A">
      <w:pPr>
        <w:jc w:val="center"/>
      </w:pPr>
    </w:p>
    <w:p w:rsidR="00C54105" w:rsidRPr="006775A0" w:rsidRDefault="00B67FCD" w:rsidP="00C54105">
      <w:pPr>
        <w:jc w:val="center"/>
        <w:rPr>
          <w:b/>
        </w:rPr>
      </w:pPr>
      <w:r w:rsidRPr="006775A0">
        <w:rPr>
          <w:b/>
        </w:rPr>
        <w:t>DNB Financial Institution Norway</w:t>
      </w:r>
    </w:p>
    <w:p w:rsidR="00C62AA4" w:rsidRPr="006775A0" w:rsidRDefault="00C62AA4" w:rsidP="00D07C2A">
      <w:pPr>
        <w:jc w:val="center"/>
      </w:pPr>
    </w:p>
    <w:p w:rsidR="00C62AA4" w:rsidRPr="006775A0" w:rsidRDefault="00C62AA4" w:rsidP="00D07C2A">
      <w:pPr>
        <w:jc w:val="center"/>
      </w:pPr>
    </w:p>
    <w:p w:rsidR="00C62AA4" w:rsidRPr="006775A0" w:rsidRDefault="00B67FCD" w:rsidP="00D07C2A">
      <w:pPr>
        <w:jc w:val="center"/>
      </w:pPr>
      <w:r w:rsidRPr="006775A0">
        <w:t>Name</w:t>
      </w:r>
    </w:p>
    <w:p w:rsidR="00C62AA4" w:rsidRPr="006775A0" w:rsidRDefault="00B67FCD" w:rsidP="00D07C2A">
      <w:pPr>
        <w:jc w:val="center"/>
      </w:pPr>
      <w:r w:rsidRPr="006775A0">
        <w:t>Affiliation</w:t>
      </w:r>
    </w:p>
    <w:p w:rsidR="00C62AA4" w:rsidRPr="006775A0" w:rsidRDefault="00B67FCD" w:rsidP="00D07C2A">
      <w:pPr>
        <w:jc w:val="center"/>
      </w:pPr>
      <w:r w:rsidRPr="006775A0">
        <w:t>Date</w:t>
      </w:r>
    </w:p>
    <w:p w:rsidR="00C62AA4" w:rsidRPr="006775A0" w:rsidRDefault="00C62AA4" w:rsidP="00D07C2A">
      <w:pPr>
        <w:jc w:val="center"/>
      </w:pPr>
    </w:p>
    <w:p w:rsidR="00C62AA4" w:rsidRPr="006775A0" w:rsidRDefault="00C62AA4" w:rsidP="00D07C2A">
      <w:pPr>
        <w:jc w:val="center"/>
      </w:pPr>
    </w:p>
    <w:p w:rsidR="00C62AA4" w:rsidRPr="006775A0" w:rsidRDefault="00C62AA4" w:rsidP="00D07C2A">
      <w:pPr>
        <w:jc w:val="center"/>
      </w:pPr>
    </w:p>
    <w:p w:rsidR="00C62AA4" w:rsidRPr="006775A0" w:rsidRDefault="00C62AA4" w:rsidP="00D07C2A">
      <w:pPr>
        <w:jc w:val="center"/>
      </w:pPr>
    </w:p>
    <w:p w:rsidR="00C62AA4" w:rsidRPr="006775A0" w:rsidRDefault="00C62AA4" w:rsidP="00D07C2A">
      <w:pPr>
        <w:jc w:val="center"/>
      </w:pPr>
    </w:p>
    <w:p w:rsidR="00C62AA4" w:rsidRPr="006775A0" w:rsidRDefault="00C62AA4" w:rsidP="00D07C2A">
      <w:pPr>
        <w:jc w:val="center"/>
      </w:pPr>
    </w:p>
    <w:p w:rsidR="00C62AA4" w:rsidRPr="006775A0" w:rsidRDefault="00C62AA4" w:rsidP="00D07C2A">
      <w:pPr>
        <w:jc w:val="center"/>
      </w:pPr>
    </w:p>
    <w:p w:rsidR="00C62AA4" w:rsidRPr="006775A0" w:rsidRDefault="00C62AA4" w:rsidP="00D07C2A">
      <w:pPr>
        <w:jc w:val="center"/>
      </w:pPr>
    </w:p>
    <w:p w:rsidR="00C62AA4" w:rsidRPr="006775A0" w:rsidRDefault="00B67FCD" w:rsidP="00C62AA4">
      <w:pPr>
        <w:jc w:val="center"/>
        <w:rPr>
          <w:b/>
        </w:rPr>
      </w:pPr>
      <w:r w:rsidRPr="006775A0">
        <w:rPr>
          <w:b/>
        </w:rPr>
        <w:t xml:space="preserve">DNB </w:t>
      </w:r>
      <w:r w:rsidR="00C54105" w:rsidRPr="006775A0">
        <w:rPr>
          <w:b/>
        </w:rPr>
        <w:t xml:space="preserve">Financial Institution </w:t>
      </w:r>
      <w:r w:rsidRPr="006775A0">
        <w:rPr>
          <w:b/>
        </w:rPr>
        <w:t>Norway</w:t>
      </w:r>
    </w:p>
    <w:p w:rsidR="00C62AA4" w:rsidRPr="006775A0" w:rsidRDefault="00B67FCD" w:rsidP="00C62AA4">
      <w:r w:rsidRPr="006775A0">
        <w:tab/>
        <w:t xml:space="preserve">DNB is among the leading global banks with seafood energy and shipping and has a massive universe </w:t>
      </w:r>
      <w:r w:rsidR="00A703B8" w:rsidRPr="006775A0">
        <w:t>presence. The</w:t>
      </w:r>
      <w:r w:rsidRPr="006775A0">
        <w:t xml:space="preserve"> firm is also the leading investment bank in </w:t>
      </w:r>
      <w:r w:rsidR="00A703B8" w:rsidRPr="006775A0">
        <w:t>Norway. The</w:t>
      </w:r>
      <w:r w:rsidRPr="006775A0">
        <w:t xml:space="preserve"> bank’s </w:t>
      </w:r>
      <w:r w:rsidR="009B01AA" w:rsidRPr="006775A0">
        <w:t>corporate</w:t>
      </w:r>
      <w:r w:rsidRPr="006775A0">
        <w:t xml:space="preserve"> and institutional, and </w:t>
      </w:r>
      <w:r w:rsidR="00A703B8" w:rsidRPr="006775A0">
        <w:t>corporate</w:t>
      </w:r>
      <w:r w:rsidRPr="006775A0">
        <w:t xml:space="preserve"> clients are served </w:t>
      </w:r>
      <w:r w:rsidR="009B01AA" w:rsidRPr="006775A0">
        <w:t>through more</w:t>
      </w:r>
      <w:r w:rsidRPr="006775A0">
        <w:t xml:space="preserve"> than 15 offices in Norway </w:t>
      </w:r>
      <w:r w:rsidR="00A703B8" w:rsidRPr="006775A0">
        <w:t xml:space="preserve">and 25 international offices. Other client service channels include banking </w:t>
      </w:r>
      <w:r w:rsidR="009B01AA" w:rsidRPr="006775A0">
        <w:t>outlets, mobile</w:t>
      </w:r>
      <w:r w:rsidR="00A703B8" w:rsidRPr="006775A0">
        <w:t xml:space="preserve"> banking platforms, and in-store postal.DNB is also a primary operator In several industries as they also focus on international or </w:t>
      </w:r>
      <w:r w:rsidR="009B01AA" w:rsidRPr="006775A0">
        <w:t>Nordic</w:t>
      </w:r>
      <w:r w:rsidR="00A703B8" w:rsidRPr="006775A0">
        <w:t xml:space="preserve"> </w:t>
      </w:r>
      <w:r w:rsidR="009B01AA" w:rsidRPr="006775A0">
        <w:t>strategy. The</w:t>
      </w:r>
      <w:r w:rsidR="00A703B8" w:rsidRPr="006775A0">
        <w:t xml:space="preserve"> bank offers </w:t>
      </w:r>
      <w:r w:rsidR="009B01AA" w:rsidRPr="006775A0">
        <w:t>pension, insurance, advisory</w:t>
      </w:r>
      <w:r w:rsidR="00A703B8" w:rsidRPr="006775A0">
        <w:t xml:space="preserve"> services, and financial services for its corporate and retail clients.</w:t>
      </w:r>
    </w:p>
    <w:p w:rsidR="006775A0" w:rsidRPr="006775A0" w:rsidRDefault="00B67FCD" w:rsidP="006775A0">
      <w:pPr>
        <w:rPr>
          <w:rFonts w:cs="Times New Roman"/>
          <w:szCs w:val="24"/>
        </w:rPr>
      </w:pPr>
      <w:r w:rsidRPr="006775A0">
        <w:rPr>
          <w:rFonts w:cs="Times New Roman"/>
          <w:szCs w:val="24"/>
        </w:rPr>
        <w:t xml:space="preserve">The firm provides a large market share to its investment and inventors. DNB operates in more than 21 counties; such a large investment offers extensive capital exchange back to the host county. Such investment improves the infrastructure such as roads, communication increasing job creation to the local and international giving large income to the employees and the inventors. The firm has the monopoly of using the host natural resources by setting light offices and improving economic </w:t>
      </w:r>
      <w:r w:rsidRPr="000D1977">
        <w:rPr>
          <w:rFonts w:cs="Times New Roman"/>
          <w:szCs w:val="24"/>
        </w:rPr>
        <w:t>growth</w:t>
      </w:r>
      <w:r w:rsidR="000D1977" w:rsidRPr="000D1977">
        <w:rPr>
          <w:rFonts w:cs="Times New Roman"/>
          <w:szCs w:val="24"/>
        </w:rPr>
        <w:t xml:space="preserve"> </w:t>
      </w:r>
      <w:r w:rsidR="000D1977" w:rsidRPr="000D1977">
        <w:rPr>
          <w:rFonts w:cs="Times New Roman"/>
          <w:szCs w:val="24"/>
          <w:shd w:val="clear" w:color="auto" w:fill="FFFFFF"/>
        </w:rPr>
        <w:t>(Nuijts et al., 2013)</w:t>
      </w:r>
      <w:r w:rsidRPr="000D1977">
        <w:rPr>
          <w:rFonts w:cs="Times New Roman"/>
          <w:szCs w:val="24"/>
        </w:rPr>
        <w:t xml:space="preserve">.            </w:t>
      </w:r>
    </w:p>
    <w:p w:rsidR="006019B2" w:rsidRPr="006775A0" w:rsidRDefault="00B67FCD" w:rsidP="00C62AA4">
      <w:r w:rsidRPr="006775A0">
        <w:tab/>
        <w:t xml:space="preserve">DNB financial institution offers social </w:t>
      </w:r>
      <w:r w:rsidR="00C54105" w:rsidRPr="006775A0">
        <w:t>benefits</w:t>
      </w:r>
      <w:r w:rsidRPr="006775A0">
        <w:t xml:space="preserve"> through being a part of the driving force for diversity and </w:t>
      </w:r>
      <w:r w:rsidR="00C54105" w:rsidRPr="006775A0">
        <w:t>equity. The</w:t>
      </w:r>
      <w:r w:rsidRPr="006775A0">
        <w:t xml:space="preserve"> firm also assists clients in the management of their </w:t>
      </w:r>
      <w:r w:rsidR="00C54105" w:rsidRPr="006775A0">
        <w:t>funds. The</w:t>
      </w:r>
      <w:r w:rsidRPr="006775A0">
        <w:t xml:space="preserve"> financial institution also leads the fight in combating </w:t>
      </w:r>
      <w:r w:rsidR="00C54105" w:rsidRPr="006775A0">
        <w:t>financial</w:t>
      </w:r>
      <w:r w:rsidRPr="006775A0">
        <w:t xml:space="preserve"> crimes, thus contributing to a safer online </w:t>
      </w:r>
      <w:r w:rsidR="00C54105" w:rsidRPr="006775A0">
        <w:t xml:space="preserve">economy. </w:t>
      </w:r>
      <w:r w:rsidR="002B5FAD" w:rsidRPr="006775A0">
        <w:t xml:space="preserve">Several social costs arose from the growth of this </w:t>
      </w:r>
      <w:r w:rsidR="00C54105" w:rsidRPr="006775A0">
        <w:t>institution. First</w:t>
      </w:r>
      <w:r w:rsidR="002B5FAD" w:rsidRPr="006775A0">
        <w:t xml:space="preserve">, the development has massively reduced the productivity of the </w:t>
      </w:r>
      <w:r w:rsidR="00C54105" w:rsidRPr="006775A0">
        <w:t>remaining</w:t>
      </w:r>
      <w:r w:rsidR="002B5FAD" w:rsidRPr="006775A0">
        <w:t xml:space="preserve"> </w:t>
      </w:r>
      <w:r w:rsidR="00C54105" w:rsidRPr="006775A0">
        <w:t>economy. Less</w:t>
      </w:r>
      <w:r w:rsidR="002B5FAD" w:rsidRPr="006775A0">
        <w:t xml:space="preserve"> productivity is a result of the extraction of delicate areas of earning of the financial </w:t>
      </w:r>
      <w:r w:rsidR="00C54105" w:rsidRPr="006775A0">
        <w:t>sector. Also</w:t>
      </w:r>
      <w:r w:rsidR="002B5FAD" w:rsidRPr="006775A0">
        <w:t>, the resources allocated to promote informational advantage are customarily used to transfer wealth and not its creation.</w:t>
      </w:r>
    </w:p>
    <w:p w:rsidR="009B01AA" w:rsidRPr="006775A0" w:rsidRDefault="009B01AA" w:rsidP="00C62AA4"/>
    <w:p w:rsidR="00A703B8" w:rsidRPr="006775A0" w:rsidRDefault="00B67FCD" w:rsidP="00A703B8">
      <w:pPr>
        <w:jc w:val="center"/>
        <w:rPr>
          <w:b/>
        </w:rPr>
      </w:pPr>
      <w:r w:rsidRPr="006775A0">
        <w:rPr>
          <w:b/>
        </w:rPr>
        <w:t>SWOT analysis</w:t>
      </w:r>
    </w:p>
    <w:p w:rsidR="00A703B8" w:rsidRPr="006775A0" w:rsidRDefault="00B67FCD" w:rsidP="00A703B8">
      <w:pPr>
        <w:rPr>
          <w:b/>
        </w:rPr>
      </w:pPr>
      <w:r w:rsidRPr="006775A0">
        <w:rPr>
          <w:b/>
        </w:rPr>
        <w:t>Strength</w:t>
      </w:r>
    </w:p>
    <w:p w:rsidR="000D1977" w:rsidRDefault="00B67FCD" w:rsidP="00A703B8">
      <w:r w:rsidRPr="006775A0">
        <w:rPr>
          <w:b/>
        </w:rPr>
        <w:tab/>
      </w:r>
      <w:r w:rsidRPr="006775A0">
        <w:t xml:space="preserve"> This bank's primary strength is successfully tracking records from integrating complimentary firms through acquisition and </w:t>
      </w:r>
      <w:r w:rsidR="009B01AA" w:rsidRPr="006775A0">
        <w:t xml:space="preserve">mergers. </w:t>
      </w:r>
      <w:r w:rsidRPr="006775A0">
        <w:t xml:space="preserve">As mentioned earlier, the </w:t>
      </w:r>
      <w:r w:rsidR="009B01AA" w:rsidRPr="006775A0">
        <w:t>bank</w:t>
      </w:r>
      <w:r w:rsidRPr="006775A0">
        <w:t xml:space="preserve"> has been able to incorporate several technology companies in the past several years, helping the bank </w:t>
      </w:r>
      <w:r w:rsidR="00C54105" w:rsidRPr="006775A0">
        <w:t>build</w:t>
      </w:r>
      <w:r w:rsidRPr="006775A0">
        <w:t xml:space="preserve"> an effective supply chain and smoothen its </w:t>
      </w:r>
      <w:r w:rsidR="00C54105" w:rsidRPr="006775A0">
        <w:t>operations. The</w:t>
      </w:r>
      <w:r w:rsidRPr="006775A0">
        <w:t xml:space="preserve"> bank also associates itself with the successful tracking of product </w:t>
      </w:r>
      <w:r w:rsidR="00C54105" w:rsidRPr="006775A0">
        <w:t>innovation. Another</w:t>
      </w:r>
      <w:r w:rsidRPr="006775A0">
        <w:t xml:space="preserve"> strength is having reliable suppliers</w:t>
      </w:r>
      <w:r w:rsidR="00B455BB" w:rsidRPr="006775A0">
        <w:t xml:space="preserve"> since the bank has effective </w:t>
      </w:r>
      <w:r w:rsidR="00C54105" w:rsidRPr="006775A0">
        <w:t>material suppliers</w:t>
      </w:r>
      <w:r w:rsidR="00B455BB" w:rsidRPr="006775A0">
        <w:t xml:space="preserve">, thus enabling the </w:t>
      </w:r>
      <w:r w:rsidR="00C54105" w:rsidRPr="006775A0">
        <w:t>organization</w:t>
      </w:r>
      <w:r w:rsidR="00B455BB" w:rsidRPr="006775A0">
        <w:t xml:space="preserve"> to overcome the bottleneck of raw </w:t>
      </w:r>
      <w:r w:rsidR="00C54105" w:rsidRPr="006775A0">
        <w:t>material. The</w:t>
      </w:r>
      <w:r w:rsidR="00B455BB" w:rsidRPr="006775A0">
        <w:t xml:space="preserve"> organization also has highly skilled </w:t>
      </w:r>
      <w:r w:rsidR="00C54105" w:rsidRPr="006775A0">
        <w:t>workers through</w:t>
      </w:r>
      <w:r w:rsidR="00B455BB" w:rsidRPr="006775A0">
        <w:t xml:space="preserve"> successful learning and training </w:t>
      </w:r>
      <w:r w:rsidR="00C54105" w:rsidRPr="006775A0">
        <w:t>programs. The</w:t>
      </w:r>
      <w:r w:rsidR="00B455BB" w:rsidRPr="006775A0">
        <w:t xml:space="preserve"> organization financial corporation is massively investing resources in its workers' development and training, resulting in motivated and highly </w:t>
      </w:r>
      <w:r w:rsidR="00C54105" w:rsidRPr="006775A0">
        <w:t>skilled</w:t>
      </w:r>
      <w:r w:rsidR="00B455BB" w:rsidRPr="006775A0">
        <w:t xml:space="preserve"> </w:t>
      </w:r>
      <w:r w:rsidR="00C54105" w:rsidRPr="006775A0">
        <w:t xml:space="preserve">workers. </w:t>
      </w:r>
    </w:p>
    <w:p w:rsidR="001D4C63" w:rsidRPr="006775A0" w:rsidRDefault="00C54105" w:rsidP="000D1977">
      <w:pPr>
        <w:ind w:firstLine="720"/>
      </w:pPr>
      <w:r w:rsidRPr="006775A0">
        <w:t>The</w:t>
      </w:r>
      <w:r w:rsidR="00B455BB" w:rsidRPr="006775A0">
        <w:t xml:space="preserve"> firm also </w:t>
      </w:r>
      <w:r w:rsidRPr="006775A0">
        <w:t>has</w:t>
      </w:r>
      <w:r w:rsidR="00B455BB" w:rsidRPr="006775A0">
        <w:t xml:space="preserve"> a strong distribution channel over many years by building an effective distribution </w:t>
      </w:r>
      <w:r w:rsidRPr="006775A0">
        <w:t>network</w:t>
      </w:r>
      <w:r w:rsidR="00B455BB" w:rsidRPr="006775A0">
        <w:t xml:space="preserve"> that reaches </w:t>
      </w:r>
      <w:r w:rsidRPr="006775A0">
        <w:t>most</w:t>
      </w:r>
      <w:r w:rsidR="00B455BB" w:rsidRPr="006775A0">
        <w:t xml:space="preserve"> of its </w:t>
      </w:r>
      <w:r w:rsidRPr="006775A0">
        <w:t>markets. The</w:t>
      </w:r>
      <w:r w:rsidR="00B455BB" w:rsidRPr="006775A0">
        <w:t xml:space="preserve"> organization also has built a culture among its dealers and </w:t>
      </w:r>
      <w:r w:rsidRPr="006775A0">
        <w:t>distributors. Through</w:t>
      </w:r>
      <w:r w:rsidR="00B455BB" w:rsidRPr="006775A0">
        <w:t xml:space="preserve"> this culture, </w:t>
      </w:r>
      <w:r w:rsidR="00033345" w:rsidRPr="006775A0">
        <w:t xml:space="preserve">dealers can invest in training the sales individuals to attract huge benefits from the </w:t>
      </w:r>
      <w:r w:rsidRPr="006775A0">
        <w:t>products. Automation</w:t>
      </w:r>
      <w:r w:rsidR="00033345" w:rsidRPr="006775A0">
        <w:t xml:space="preserve"> of tasks has enabled the organization to scale up and scale down concerning demand </w:t>
      </w:r>
      <w:r w:rsidRPr="006775A0">
        <w:t>conditions. Such</w:t>
      </w:r>
      <w:r w:rsidR="00033345" w:rsidRPr="006775A0">
        <w:t xml:space="preserve"> automation has also increased the quality of its </w:t>
      </w:r>
      <w:r w:rsidRPr="006775A0">
        <w:t>financial corporation</w:t>
      </w:r>
      <w:r w:rsidR="00033345" w:rsidRPr="006775A0">
        <w:t xml:space="preserve"> services and products.DNB firms have experts who are talented in entering new markets and </w:t>
      </w:r>
      <w:r w:rsidR="00AA1879" w:rsidRPr="006775A0">
        <w:t xml:space="preserve">succeeding in those </w:t>
      </w:r>
      <w:r w:rsidRPr="006775A0">
        <w:t>markets. The</w:t>
      </w:r>
      <w:r w:rsidR="00AA1879" w:rsidRPr="006775A0">
        <w:t xml:space="preserve"> expansion has assisted the organization in </w:t>
      </w:r>
      <w:r w:rsidRPr="006775A0">
        <w:t>diversifying</w:t>
      </w:r>
      <w:r w:rsidR="00AA1879" w:rsidRPr="006775A0">
        <w:t xml:space="preserve"> the economic cycle and creating new revenue </w:t>
      </w:r>
      <w:r w:rsidR="00AA1879" w:rsidRPr="000D1977">
        <w:rPr>
          <w:rFonts w:cs="Times New Roman"/>
          <w:szCs w:val="24"/>
        </w:rPr>
        <w:t>sources</w:t>
      </w:r>
      <w:r w:rsidR="000D1977" w:rsidRPr="000D1977">
        <w:rPr>
          <w:rFonts w:cs="Times New Roman"/>
          <w:szCs w:val="24"/>
        </w:rPr>
        <w:t xml:space="preserve"> </w:t>
      </w:r>
      <w:r w:rsidR="000D1977" w:rsidRPr="000D1977">
        <w:rPr>
          <w:rFonts w:cs="Times New Roman"/>
          <w:szCs w:val="24"/>
          <w:shd w:val="clear" w:color="auto" w:fill="FFFFFF"/>
        </w:rPr>
        <w:t>(Dacorogna &amp; Busse, 2016)</w:t>
      </w:r>
      <w:r w:rsidR="00AA1879" w:rsidRPr="000D1977">
        <w:rPr>
          <w:rFonts w:cs="Times New Roman"/>
          <w:szCs w:val="24"/>
        </w:rPr>
        <w:t>.</w:t>
      </w:r>
    </w:p>
    <w:p w:rsidR="00AA1879" w:rsidRPr="006775A0" w:rsidRDefault="00B67FCD" w:rsidP="00A703B8">
      <w:r w:rsidRPr="006775A0">
        <w:rPr>
          <w:b/>
        </w:rPr>
        <w:t>Weaknesses</w:t>
      </w:r>
    </w:p>
    <w:p w:rsidR="00AA1879" w:rsidRPr="006775A0" w:rsidRDefault="00B67FCD" w:rsidP="00A703B8">
      <w:r w:rsidRPr="006775A0">
        <w:tab/>
        <w:t xml:space="preserve">There are several areas where DNB firms can improve upon </w:t>
      </w:r>
      <w:r w:rsidR="00C54105" w:rsidRPr="006775A0">
        <w:t>them. Some</w:t>
      </w:r>
      <w:r w:rsidRPr="006775A0">
        <w:t xml:space="preserve"> of such sites include net contribution</w:t>
      </w:r>
      <w:r w:rsidR="00D41CA2" w:rsidRPr="006775A0">
        <w:t xml:space="preserve"> percentage</w:t>
      </w:r>
      <w:r w:rsidRPr="006775A0">
        <w:t xml:space="preserve"> and profitability ratio</w:t>
      </w:r>
      <w:r w:rsidR="00D41CA2" w:rsidRPr="006775A0">
        <w:t xml:space="preserve"> are below the market’s </w:t>
      </w:r>
      <w:r w:rsidR="00C54105" w:rsidRPr="006775A0">
        <w:t>average. Secondly</w:t>
      </w:r>
      <w:r w:rsidR="00D41CA2" w:rsidRPr="006775A0">
        <w:t xml:space="preserve">, its products' marketing is poor; although the firm is successful in sales, it has an unclear selling proposition and </w:t>
      </w:r>
      <w:r w:rsidR="00BC24E6" w:rsidRPr="006775A0">
        <w:t>positioning. The</w:t>
      </w:r>
      <w:r w:rsidR="00D41CA2" w:rsidRPr="006775A0">
        <w:t xml:space="preserve"> organization has also </w:t>
      </w:r>
      <w:r w:rsidR="00BC24E6" w:rsidRPr="006775A0">
        <w:t>failed to counter the problem presented by new entities in the financial segment, and it has lost significant market share in a short while.</w:t>
      </w:r>
      <w:r w:rsidRPr="006775A0">
        <w:t xml:space="preserve"> </w:t>
      </w:r>
      <w:r w:rsidR="00BC24E6" w:rsidRPr="006775A0">
        <w:t xml:space="preserve">The firm has to directly construct an internal feedback channel from the sales team to handle such a </w:t>
      </w:r>
      <w:r w:rsidR="00C54105" w:rsidRPr="006775A0">
        <w:t>problem. There</w:t>
      </w:r>
      <w:r w:rsidR="00BC24E6" w:rsidRPr="006775A0">
        <w:t xml:space="preserve"> is also a prob</w:t>
      </w:r>
      <w:r w:rsidR="000C49E9" w:rsidRPr="006775A0">
        <w:t xml:space="preserve">lem with how the company takes financial </w:t>
      </w:r>
      <w:r w:rsidR="00C54105" w:rsidRPr="006775A0">
        <w:t>planning. The</w:t>
      </w:r>
      <w:r w:rsidR="000C49E9" w:rsidRPr="006775A0">
        <w:t xml:space="preserve"> current liquid and asset ratio offers room for the organization to utilize the finance more than the current </w:t>
      </w:r>
      <w:r w:rsidR="00C54105" w:rsidRPr="006775A0">
        <w:t>amount. The</w:t>
      </w:r>
      <w:r w:rsidR="000C49E9" w:rsidRPr="006775A0">
        <w:t xml:space="preserve"> present culture inhibits DNB from investing in diverse product </w:t>
      </w:r>
      <w:r w:rsidR="00C54105" w:rsidRPr="006775A0">
        <w:t>segments. Since</w:t>
      </w:r>
      <w:r w:rsidR="000C49E9" w:rsidRPr="006775A0">
        <w:t xml:space="preserve"> the organization has plans for </w:t>
      </w:r>
      <w:r w:rsidR="00C54105" w:rsidRPr="006775A0">
        <w:t>different</w:t>
      </w:r>
      <w:r w:rsidR="000C49E9" w:rsidRPr="006775A0">
        <w:t xml:space="preserve"> geographies and </w:t>
      </w:r>
      <w:r w:rsidR="000C49E9" w:rsidRPr="000D1977">
        <w:rPr>
          <w:rFonts w:cs="Times New Roman"/>
          <w:szCs w:val="24"/>
        </w:rPr>
        <w:t>expansion, DNB should invest massively in technology to assimilate the processes globally</w:t>
      </w:r>
      <w:r w:rsidR="000D1977" w:rsidRPr="000D1977">
        <w:rPr>
          <w:rFonts w:cs="Times New Roman"/>
          <w:szCs w:val="24"/>
        </w:rPr>
        <w:t xml:space="preserve"> </w:t>
      </w:r>
      <w:r w:rsidR="000D1977" w:rsidRPr="000D1977">
        <w:rPr>
          <w:rFonts w:cs="Times New Roman"/>
          <w:szCs w:val="24"/>
          <w:shd w:val="clear" w:color="auto" w:fill="FFFFFF"/>
        </w:rPr>
        <w:t>(Holden, 2013)</w:t>
      </w:r>
      <w:r w:rsidR="000C49E9" w:rsidRPr="000D1977">
        <w:rPr>
          <w:rFonts w:cs="Times New Roman"/>
          <w:szCs w:val="24"/>
        </w:rPr>
        <w:t>.</w:t>
      </w:r>
    </w:p>
    <w:p w:rsidR="000C49E9" w:rsidRPr="006775A0" w:rsidRDefault="00B67FCD" w:rsidP="00A703B8">
      <w:pPr>
        <w:rPr>
          <w:b/>
        </w:rPr>
      </w:pPr>
      <w:r w:rsidRPr="006775A0">
        <w:rPr>
          <w:b/>
        </w:rPr>
        <w:t>Opportunities</w:t>
      </w:r>
    </w:p>
    <w:p w:rsidR="000C49E9" w:rsidRPr="006775A0" w:rsidRDefault="00B67FCD" w:rsidP="00A703B8">
      <w:r w:rsidRPr="006775A0">
        <w:rPr>
          <w:b/>
        </w:rPr>
        <w:tab/>
      </w:r>
      <w:r w:rsidRPr="006775A0">
        <w:t xml:space="preserve">The new trends in </w:t>
      </w:r>
      <w:r w:rsidR="00C54105" w:rsidRPr="006775A0">
        <w:t>client’s</w:t>
      </w:r>
      <w:r w:rsidRPr="006775A0">
        <w:t xml:space="preserve"> behaviors can result in new </w:t>
      </w:r>
      <w:r w:rsidR="00C54105" w:rsidRPr="006775A0">
        <w:t>markets for</w:t>
      </w:r>
      <w:r w:rsidRPr="006775A0">
        <w:t xml:space="preserve"> the </w:t>
      </w:r>
      <w:r w:rsidR="00C54105" w:rsidRPr="006775A0">
        <w:t>firm. Such</w:t>
      </w:r>
      <w:r w:rsidRPr="006775A0">
        <w:t xml:space="preserve"> actions open up an opportunity for the firm to </w:t>
      </w:r>
      <w:r w:rsidR="009772CF" w:rsidRPr="006775A0">
        <w:t xml:space="preserve">diversify into different products and revenue </w:t>
      </w:r>
      <w:r w:rsidR="00C54105" w:rsidRPr="006775A0">
        <w:t>sources. The</w:t>
      </w:r>
      <w:r w:rsidR="009772CF" w:rsidRPr="006775A0">
        <w:t xml:space="preserve"> presence of a new policy on taxation can significantly impact the business style and offer new chances for profit </w:t>
      </w:r>
      <w:r w:rsidR="00C54105" w:rsidRPr="006775A0">
        <w:t xml:space="preserve">increase. </w:t>
      </w:r>
      <w:r w:rsidR="009772CF" w:rsidRPr="006775A0">
        <w:t xml:space="preserve">Technology innovation also provides an opportunity for DNB firms to alter their pricing strategy in developed markets. Moreso </w:t>
      </w:r>
      <w:r w:rsidR="00C54105" w:rsidRPr="006775A0">
        <w:t>new</w:t>
      </w:r>
      <w:r w:rsidR="009772CF" w:rsidRPr="006775A0">
        <w:t xml:space="preserve"> environmental policies allow the DNB organization to use its technological advantage in new product groups and market </w:t>
      </w:r>
      <w:r w:rsidR="00C54105" w:rsidRPr="006775A0">
        <w:t>shares. There</w:t>
      </w:r>
      <w:r w:rsidR="009772CF" w:rsidRPr="006775A0">
        <w:t xml:space="preserve"> is </w:t>
      </w:r>
      <w:r w:rsidR="00C54105" w:rsidRPr="006775A0">
        <w:t>an evident</w:t>
      </w:r>
      <w:r w:rsidR="009772CF" w:rsidRPr="006775A0">
        <w:t xml:space="preserve"> increase in </w:t>
      </w:r>
      <w:r w:rsidR="00C54105" w:rsidRPr="006775A0">
        <w:t>clients</w:t>
      </w:r>
      <w:r w:rsidR="009772CF" w:rsidRPr="006775A0">
        <w:t xml:space="preserve">’ spending and economic uptick after </w:t>
      </w:r>
      <w:r w:rsidR="00C54105" w:rsidRPr="006775A0">
        <w:t>several</w:t>
      </w:r>
      <w:r w:rsidR="009772CF" w:rsidRPr="006775A0">
        <w:t xml:space="preserve"> years of slow growth, and recession provides an opportunity for this organization to </w:t>
      </w:r>
      <w:r w:rsidR="007446D0" w:rsidRPr="006775A0">
        <w:t xml:space="preserve">increase its market </w:t>
      </w:r>
      <w:r w:rsidR="00C54105" w:rsidRPr="006775A0">
        <w:t>shares. The</w:t>
      </w:r>
      <w:r w:rsidR="007446D0" w:rsidRPr="006775A0">
        <w:t xml:space="preserve"> low inflammation rate leads to low-interest rates for clients of DNB firm.</w:t>
      </w:r>
    </w:p>
    <w:p w:rsidR="00907C26" w:rsidRPr="006775A0" w:rsidRDefault="00B67FCD" w:rsidP="00A703B8">
      <w:r w:rsidRPr="006775A0">
        <w:rPr>
          <w:b/>
        </w:rPr>
        <w:t>Threats</w:t>
      </w:r>
    </w:p>
    <w:p w:rsidR="00907C26" w:rsidRPr="006775A0" w:rsidRDefault="00B67FCD" w:rsidP="00A703B8">
      <w:r w:rsidRPr="006775A0">
        <w:tab/>
        <w:t xml:space="preserve">Isolationism from the American economy may influence other states, thus reducing international sales. As the firm operates in different nations, it is prone to currency fluctuations, </w:t>
      </w:r>
      <w:r w:rsidR="00C54105" w:rsidRPr="006775A0">
        <w:t>especially</w:t>
      </w:r>
      <w:r w:rsidRPr="006775A0">
        <w:t xml:space="preserve"> in countries </w:t>
      </w:r>
      <w:r w:rsidR="00C54105" w:rsidRPr="006775A0">
        <w:t>with extreme</w:t>
      </w:r>
      <w:r w:rsidRPr="006775A0">
        <w:t xml:space="preserve"> political environments. Besides, A worldwide shortage of skilled workers </w:t>
      </w:r>
      <w:r w:rsidR="00C54105" w:rsidRPr="006775A0">
        <w:t>poses</w:t>
      </w:r>
      <w:r w:rsidRPr="006775A0">
        <w:t xml:space="preserve"> a challenge</w:t>
      </w:r>
      <w:r w:rsidR="009B01AA" w:rsidRPr="006775A0">
        <w:t xml:space="preserve"> to the growth of the financial firm. In conclusion, unique </w:t>
      </w:r>
      <w:r w:rsidR="009B01AA" w:rsidRPr="000D1977">
        <w:rPr>
          <w:rFonts w:cs="Times New Roman"/>
          <w:szCs w:val="24"/>
        </w:rPr>
        <w:t xml:space="preserve">technologies from competitors cause a severe threat to the future of the </w:t>
      </w:r>
      <w:r w:rsidR="00C54105" w:rsidRPr="000D1977">
        <w:rPr>
          <w:rFonts w:cs="Times New Roman"/>
          <w:szCs w:val="24"/>
        </w:rPr>
        <w:t>organization. Massive</w:t>
      </w:r>
      <w:r w:rsidR="009B01AA" w:rsidRPr="000D1977">
        <w:rPr>
          <w:rFonts w:cs="Times New Roman"/>
          <w:szCs w:val="24"/>
        </w:rPr>
        <w:t xml:space="preserve"> acquisition of raw material </w:t>
      </w:r>
      <w:r w:rsidR="00C54105" w:rsidRPr="000D1977">
        <w:rPr>
          <w:rFonts w:cs="Times New Roman"/>
          <w:szCs w:val="24"/>
        </w:rPr>
        <w:t>poses</w:t>
      </w:r>
      <w:r w:rsidR="009B01AA" w:rsidRPr="000D1977">
        <w:rPr>
          <w:rFonts w:cs="Times New Roman"/>
          <w:szCs w:val="24"/>
        </w:rPr>
        <w:t xml:space="preserve"> a threat to the profit rates of the organization</w:t>
      </w:r>
      <w:r w:rsidR="000D1977" w:rsidRPr="000D1977">
        <w:rPr>
          <w:rFonts w:cs="Times New Roman"/>
          <w:szCs w:val="24"/>
        </w:rPr>
        <w:t xml:space="preserve"> </w:t>
      </w:r>
      <w:r w:rsidR="000D1977" w:rsidRPr="000D1977">
        <w:rPr>
          <w:rFonts w:cs="Times New Roman"/>
          <w:szCs w:val="24"/>
          <w:shd w:val="clear" w:color="auto" w:fill="FFFFFF"/>
        </w:rPr>
        <w:t>(Vasudeva, 2013)</w:t>
      </w:r>
      <w:r w:rsidR="009B01AA" w:rsidRPr="000D1977">
        <w:rPr>
          <w:rFonts w:cs="Times New Roman"/>
          <w:szCs w:val="24"/>
        </w:rPr>
        <w:t>.</w:t>
      </w:r>
    </w:p>
    <w:p w:rsidR="00907C26" w:rsidRPr="006775A0" w:rsidRDefault="00907C26" w:rsidP="00A703B8"/>
    <w:p w:rsidR="000C49E9" w:rsidRPr="006775A0" w:rsidRDefault="000C49E9" w:rsidP="00A703B8"/>
    <w:p w:rsidR="00A703B8" w:rsidRDefault="00A703B8" w:rsidP="00A703B8">
      <w:pPr>
        <w:jc w:val="center"/>
      </w:pPr>
    </w:p>
    <w:p w:rsidR="000D1977" w:rsidRDefault="000D1977" w:rsidP="00A703B8">
      <w:pPr>
        <w:jc w:val="center"/>
      </w:pPr>
    </w:p>
    <w:p w:rsidR="000D1977" w:rsidRDefault="000D1977" w:rsidP="00A703B8">
      <w:pPr>
        <w:jc w:val="center"/>
      </w:pPr>
    </w:p>
    <w:p w:rsidR="000D1977" w:rsidRDefault="000D1977" w:rsidP="00A703B8">
      <w:pPr>
        <w:jc w:val="center"/>
      </w:pPr>
    </w:p>
    <w:p w:rsidR="000D1977" w:rsidRDefault="000D1977" w:rsidP="00A703B8">
      <w:pPr>
        <w:jc w:val="center"/>
      </w:pPr>
    </w:p>
    <w:p w:rsidR="000D1977" w:rsidRDefault="000D1977" w:rsidP="00A703B8">
      <w:pPr>
        <w:jc w:val="center"/>
      </w:pPr>
    </w:p>
    <w:p w:rsidR="000D1977" w:rsidRDefault="000D1977" w:rsidP="00A703B8">
      <w:pPr>
        <w:jc w:val="center"/>
      </w:pPr>
    </w:p>
    <w:p w:rsidR="000D1977" w:rsidRDefault="000D1977" w:rsidP="00A703B8">
      <w:pPr>
        <w:jc w:val="center"/>
      </w:pPr>
    </w:p>
    <w:p w:rsidR="000D1977" w:rsidRDefault="000D1977" w:rsidP="00A703B8">
      <w:pPr>
        <w:jc w:val="center"/>
      </w:pPr>
    </w:p>
    <w:p w:rsidR="000D1977" w:rsidRDefault="000D1977" w:rsidP="00A703B8">
      <w:pPr>
        <w:jc w:val="center"/>
      </w:pPr>
    </w:p>
    <w:p w:rsidR="000D1977" w:rsidRPr="000D1977" w:rsidRDefault="000D1977" w:rsidP="000D1977">
      <w:pPr>
        <w:shd w:val="clear" w:color="auto" w:fill="FFFFFF"/>
        <w:spacing w:after="0" w:line="240" w:lineRule="auto"/>
        <w:jc w:val="center"/>
        <w:rPr>
          <w:rFonts w:eastAsia="Times New Roman" w:cs="Times New Roman"/>
          <w:szCs w:val="24"/>
        </w:rPr>
      </w:pPr>
      <w:r w:rsidRPr="000D1977">
        <w:rPr>
          <w:rFonts w:eastAsia="Times New Roman" w:cs="Times New Roman"/>
          <w:szCs w:val="24"/>
        </w:rPr>
        <w:t>References</w:t>
      </w:r>
    </w:p>
    <w:p w:rsidR="000D1977" w:rsidRPr="000D1977" w:rsidRDefault="000D1977" w:rsidP="000D1977">
      <w:pPr>
        <w:shd w:val="clear" w:color="auto" w:fill="FFFFFF"/>
        <w:spacing w:after="0" w:line="550" w:lineRule="atLeast"/>
        <w:ind w:left="720" w:right="75" w:hanging="720"/>
        <w:rPr>
          <w:rFonts w:eastAsia="Times New Roman" w:cs="Times New Roman"/>
          <w:szCs w:val="24"/>
        </w:rPr>
      </w:pPr>
      <w:r w:rsidRPr="000D1977">
        <w:rPr>
          <w:rFonts w:eastAsia="Times New Roman" w:cs="Times New Roman"/>
          <w:szCs w:val="24"/>
        </w:rPr>
        <w:t>Dacorogna, M. M., &amp; Busse, M. (2016). The price of being a Systemically important financial institution (SIFI). </w:t>
      </w:r>
      <w:r w:rsidRPr="000D1977">
        <w:rPr>
          <w:rFonts w:eastAsia="Times New Roman" w:cs="Times New Roman"/>
          <w:i/>
          <w:iCs/>
          <w:szCs w:val="24"/>
        </w:rPr>
        <w:t>SSRN Electronic Journal</w:t>
      </w:r>
      <w:r w:rsidRPr="000D1977">
        <w:rPr>
          <w:rFonts w:eastAsia="Times New Roman" w:cs="Times New Roman"/>
          <w:szCs w:val="24"/>
        </w:rPr>
        <w:t>. </w:t>
      </w:r>
      <w:hyperlink r:id="rId6" w:history="1">
        <w:r w:rsidRPr="000D1977">
          <w:rPr>
            <w:rFonts w:eastAsia="Times New Roman" w:cs="Times New Roman"/>
            <w:szCs w:val="24"/>
          </w:rPr>
          <w:t>https://doi.org/10.2139/ssrn.2803113</w:t>
        </w:r>
      </w:hyperlink>
    </w:p>
    <w:p w:rsidR="000D1977" w:rsidRPr="000D1977" w:rsidRDefault="000D1977" w:rsidP="000D1977">
      <w:pPr>
        <w:shd w:val="clear" w:color="auto" w:fill="FFFFFF"/>
        <w:spacing w:after="0" w:line="550" w:lineRule="atLeast"/>
        <w:ind w:left="720" w:right="75" w:hanging="720"/>
        <w:rPr>
          <w:rFonts w:eastAsia="Times New Roman" w:cs="Times New Roman"/>
          <w:szCs w:val="24"/>
        </w:rPr>
      </w:pPr>
      <w:r w:rsidRPr="000D1977">
        <w:rPr>
          <w:rFonts w:eastAsia="Times New Roman" w:cs="Times New Roman"/>
          <w:szCs w:val="24"/>
        </w:rPr>
        <w:t>Holden, S. (2013). Avoiding the resource curse the case Norway. </w:t>
      </w:r>
      <w:r w:rsidRPr="000D1977">
        <w:rPr>
          <w:rFonts w:eastAsia="Times New Roman" w:cs="Times New Roman"/>
          <w:i/>
          <w:iCs/>
          <w:szCs w:val="24"/>
        </w:rPr>
        <w:t>Energy Policy</w:t>
      </w:r>
      <w:r w:rsidRPr="000D1977">
        <w:rPr>
          <w:rFonts w:eastAsia="Times New Roman" w:cs="Times New Roman"/>
          <w:szCs w:val="24"/>
        </w:rPr>
        <w:t>, </w:t>
      </w:r>
      <w:r w:rsidRPr="000D1977">
        <w:rPr>
          <w:rFonts w:eastAsia="Times New Roman" w:cs="Times New Roman"/>
          <w:i/>
          <w:iCs/>
          <w:szCs w:val="24"/>
        </w:rPr>
        <w:t>63</w:t>
      </w:r>
      <w:r w:rsidRPr="000D1977">
        <w:rPr>
          <w:rFonts w:eastAsia="Times New Roman" w:cs="Times New Roman"/>
          <w:szCs w:val="24"/>
        </w:rPr>
        <w:t>, 870-876. </w:t>
      </w:r>
      <w:hyperlink r:id="rId7" w:history="1">
        <w:r w:rsidRPr="000D1977">
          <w:rPr>
            <w:rFonts w:eastAsia="Times New Roman" w:cs="Times New Roman"/>
            <w:szCs w:val="24"/>
          </w:rPr>
          <w:t>https://doi.org/10.1016/j.enpol.2013.09.010</w:t>
        </w:r>
      </w:hyperlink>
    </w:p>
    <w:p w:rsidR="000D1977" w:rsidRPr="000D1977" w:rsidRDefault="000D1977" w:rsidP="000D1977">
      <w:pPr>
        <w:shd w:val="clear" w:color="auto" w:fill="FFFFFF"/>
        <w:spacing w:after="0" w:line="550" w:lineRule="atLeast"/>
        <w:ind w:left="720" w:right="75" w:hanging="720"/>
        <w:rPr>
          <w:rFonts w:eastAsia="Times New Roman" w:cs="Times New Roman"/>
          <w:szCs w:val="24"/>
        </w:rPr>
      </w:pPr>
      <w:r w:rsidRPr="000D1977">
        <w:rPr>
          <w:rFonts w:eastAsia="Times New Roman" w:cs="Times New Roman"/>
          <w:szCs w:val="24"/>
        </w:rPr>
        <w:t>Nuijts, W., De Haan, J., &amp; De Haan, J. (2013). DNB Supervision of Conduct and Culture. </w:t>
      </w:r>
      <w:r w:rsidRPr="000D1977">
        <w:rPr>
          <w:rFonts w:eastAsia="Times New Roman" w:cs="Times New Roman"/>
          <w:i/>
          <w:iCs/>
          <w:szCs w:val="24"/>
        </w:rPr>
        <w:t>Financial Supervision in the 21st Century</w:t>
      </w:r>
      <w:r w:rsidRPr="000D1977">
        <w:rPr>
          <w:rFonts w:eastAsia="Times New Roman" w:cs="Times New Roman"/>
          <w:szCs w:val="24"/>
        </w:rPr>
        <w:t>, 151-164.</w:t>
      </w:r>
    </w:p>
    <w:p w:rsidR="000D1977" w:rsidRPr="000D1977" w:rsidRDefault="000D1977" w:rsidP="000D1977">
      <w:pPr>
        <w:shd w:val="clear" w:color="auto" w:fill="FFFFFF"/>
        <w:spacing w:after="0" w:line="550" w:lineRule="atLeast"/>
        <w:ind w:left="720" w:right="75" w:hanging="720"/>
        <w:rPr>
          <w:rFonts w:eastAsia="Times New Roman" w:cs="Times New Roman"/>
          <w:szCs w:val="24"/>
        </w:rPr>
      </w:pPr>
      <w:r w:rsidRPr="000D1977">
        <w:rPr>
          <w:rFonts w:eastAsia="Times New Roman" w:cs="Times New Roman"/>
          <w:szCs w:val="24"/>
        </w:rPr>
        <w:t>Vasudeva, G. (2013). Weaving together the normative and regulative roles of government: How the Norwegian sovereign wealth fund’s responsible conduct is shaping firms’ cross-border investments. </w:t>
      </w:r>
      <w:r w:rsidRPr="000D1977">
        <w:rPr>
          <w:rFonts w:eastAsia="Times New Roman" w:cs="Times New Roman"/>
          <w:i/>
          <w:iCs/>
          <w:szCs w:val="24"/>
        </w:rPr>
        <w:t>Organization Science</w:t>
      </w:r>
      <w:r w:rsidRPr="000D1977">
        <w:rPr>
          <w:rFonts w:eastAsia="Times New Roman" w:cs="Times New Roman"/>
          <w:szCs w:val="24"/>
        </w:rPr>
        <w:t>, </w:t>
      </w:r>
      <w:r w:rsidRPr="000D1977">
        <w:rPr>
          <w:rFonts w:eastAsia="Times New Roman" w:cs="Times New Roman"/>
          <w:i/>
          <w:iCs/>
          <w:szCs w:val="24"/>
        </w:rPr>
        <w:t>24</w:t>
      </w:r>
      <w:r w:rsidRPr="000D1977">
        <w:rPr>
          <w:rFonts w:eastAsia="Times New Roman" w:cs="Times New Roman"/>
          <w:szCs w:val="24"/>
        </w:rPr>
        <w:t>(6), 1662-1682. </w:t>
      </w:r>
      <w:hyperlink r:id="rId8" w:history="1">
        <w:r w:rsidRPr="000D1977">
          <w:rPr>
            <w:rFonts w:eastAsia="Times New Roman" w:cs="Times New Roman"/>
            <w:szCs w:val="24"/>
          </w:rPr>
          <w:t>https://doi.org/10.1287/orsc.2013.0822</w:t>
        </w:r>
      </w:hyperlink>
    </w:p>
    <w:p w:rsidR="000D1977" w:rsidRPr="000D1977" w:rsidRDefault="000D1977" w:rsidP="00A703B8">
      <w:pPr>
        <w:jc w:val="center"/>
        <w:rPr>
          <w:rFonts w:cs="Times New Roman"/>
          <w:szCs w:val="24"/>
        </w:rPr>
      </w:pPr>
    </w:p>
    <w:sectPr w:rsidR="000D1977" w:rsidRPr="000D197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7FCD" w:rsidRDefault="00B67FCD">
      <w:pPr>
        <w:spacing w:after="0" w:line="240" w:lineRule="auto"/>
      </w:pPr>
      <w:r>
        <w:separator/>
      </w:r>
    </w:p>
  </w:endnote>
  <w:endnote w:type="continuationSeparator" w:id="0">
    <w:p w:rsidR="00B67FCD" w:rsidRDefault="00B6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7FCD" w:rsidRDefault="00B67FCD">
      <w:pPr>
        <w:spacing w:after="0" w:line="240" w:lineRule="auto"/>
      </w:pPr>
      <w:r>
        <w:separator/>
      </w:r>
    </w:p>
  </w:footnote>
  <w:footnote w:type="continuationSeparator" w:id="0">
    <w:p w:rsidR="00B67FCD" w:rsidRDefault="00B6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2411153"/>
      <w:docPartObj>
        <w:docPartGallery w:val="Page Numbers (Top of Page)"/>
        <w:docPartUnique/>
      </w:docPartObj>
    </w:sdtPr>
    <w:sdtEndPr>
      <w:rPr>
        <w:noProof/>
      </w:rPr>
    </w:sdtEndPr>
    <w:sdtContent>
      <w:p w:rsidR="00D07C2A" w:rsidRDefault="00B67FCD">
        <w:pPr>
          <w:pStyle w:val="Header"/>
          <w:jc w:val="right"/>
        </w:pPr>
        <w:r>
          <w:fldChar w:fldCharType="begin"/>
        </w:r>
        <w:r>
          <w:instrText xml:space="preserve"> PAGE   \* MERGEFORMAT </w:instrText>
        </w:r>
        <w:r>
          <w:fldChar w:fldCharType="separate"/>
        </w:r>
        <w:r w:rsidR="00B74BF8">
          <w:rPr>
            <w:noProof/>
          </w:rPr>
          <w:t>6</w:t>
        </w:r>
        <w:r>
          <w:rPr>
            <w:noProof/>
          </w:rPr>
          <w:fldChar w:fldCharType="end"/>
        </w:r>
      </w:p>
    </w:sdtContent>
  </w:sdt>
  <w:p w:rsidR="00D07C2A" w:rsidRDefault="00D07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C2A"/>
    <w:rsid w:val="00033345"/>
    <w:rsid w:val="000C49E9"/>
    <w:rsid w:val="000D1977"/>
    <w:rsid w:val="001C4CD1"/>
    <w:rsid w:val="001D4C63"/>
    <w:rsid w:val="002853EC"/>
    <w:rsid w:val="002B5FAD"/>
    <w:rsid w:val="00323F97"/>
    <w:rsid w:val="006019B2"/>
    <w:rsid w:val="006775A0"/>
    <w:rsid w:val="007446D0"/>
    <w:rsid w:val="007A3E1E"/>
    <w:rsid w:val="008023DC"/>
    <w:rsid w:val="008E2C11"/>
    <w:rsid w:val="00907C26"/>
    <w:rsid w:val="009772CF"/>
    <w:rsid w:val="009B01AA"/>
    <w:rsid w:val="009C3B55"/>
    <w:rsid w:val="00A703B8"/>
    <w:rsid w:val="00AA1879"/>
    <w:rsid w:val="00B00F3D"/>
    <w:rsid w:val="00B455BB"/>
    <w:rsid w:val="00B67FCD"/>
    <w:rsid w:val="00B74BF8"/>
    <w:rsid w:val="00BC24E6"/>
    <w:rsid w:val="00C54105"/>
    <w:rsid w:val="00C62AA4"/>
    <w:rsid w:val="00CA212C"/>
    <w:rsid w:val="00D07C2A"/>
    <w:rsid w:val="00D21A27"/>
    <w:rsid w:val="00D4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F1DEC-4BB9-4340-AA58-E469549F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C2A"/>
  </w:style>
  <w:style w:type="paragraph" w:styleId="Footer">
    <w:name w:val="footer"/>
    <w:basedOn w:val="Normal"/>
    <w:link w:val="FooterChar"/>
    <w:uiPriority w:val="99"/>
    <w:unhideWhenUsed/>
    <w:rsid w:val="00D07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C2A"/>
  </w:style>
  <w:style w:type="character" w:customStyle="1" w:styleId="gray">
    <w:name w:val="gray"/>
    <w:basedOn w:val="DefaultParagraphFont"/>
    <w:rsid w:val="000D1977"/>
  </w:style>
  <w:style w:type="paragraph" w:styleId="NormalWeb">
    <w:name w:val="Normal (Web)"/>
    <w:basedOn w:val="Normal"/>
    <w:uiPriority w:val="99"/>
    <w:semiHidden/>
    <w:unhideWhenUsed/>
    <w:rsid w:val="000D1977"/>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0D1977"/>
    <w:rPr>
      <w:i/>
      <w:iCs/>
    </w:rPr>
  </w:style>
  <w:style w:type="character" w:styleId="Hyperlink">
    <w:name w:val="Hyperlink"/>
    <w:basedOn w:val="DefaultParagraphFont"/>
    <w:uiPriority w:val="99"/>
    <w:semiHidden/>
    <w:unhideWhenUsed/>
    <w:rsid w:val="000D1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3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87/orsc.2013.0822" TargetMode="External" /><Relationship Id="rId3" Type="http://schemas.openxmlformats.org/officeDocument/2006/relationships/webSettings" Target="webSettings.xml" /><Relationship Id="rId7" Type="http://schemas.openxmlformats.org/officeDocument/2006/relationships/hyperlink" Target="https://doi.org/10.1016/j.enpol.2013.09.010"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2139/ssrn.2803113"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2021-02-17T17:33:00Z</dcterms:created>
  <dcterms:modified xsi:type="dcterms:W3CDTF">2021-02-17T17:33:00Z</dcterms:modified>
</cp:coreProperties>
</file>